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E6C1C">
      <w:pPr>
        <w:jc w:val="center"/>
        <w:rPr>
          <w:rFonts w:hint="eastAsia" w:ascii="黑体" w:hAnsi="黑体" w:eastAsia="黑体" w:cs="黑体"/>
          <w:b/>
          <w:bCs/>
          <w:i w:val="0"/>
          <w:iCs w:val="0"/>
          <w:spacing w:val="8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spacing w:val="8"/>
          <w:sz w:val="32"/>
          <w:szCs w:val="32"/>
        </w:rPr>
        <w:t>关于规范使用人工智能</w:t>
      </w:r>
      <w:r>
        <w:rPr>
          <w:rFonts w:hint="eastAsia" w:ascii="黑体" w:hAnsi="黑体" w:eastAsia="黑体" w:cs="黑体"/>
          <w:b/>
          <w:bCs/>
          <w:i w:val="0"/>
          <w:iCs w:val="0"/>
          <w:spacing w:val="8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i w:val="0"/>
          <w:iCs w:val="0"/>
          <w:spacing w:val="8"/>
          <w:sz w:val="32"/>
          <w:szCs w:val="32"/>
          <w:lang w:val="en-US" w:eastAsia="zh-CN"/>
        </w:rPr>
        <w:t>AI）</w:t>
      </w:r>
      <w:r>
        <w:rPr>
          <w:rFonts w:hint="eastAsia" w:ascii="黑体" w:hAnsi="黑体" w:eastAsia="黑体" w:cs="黑体"/>
          <w:b/>
          <w:bCs/>
          <w:i w:val="0"/>
          <w:iCs w:val="0"/>
          <w:spacing w:val="8"/>
          <w:sz w:val="32"/>
          <w:szCs w:val="32"/>
        </w:rPr>
        <w:t>工具的启事</w:t>
      </w:r>
    </w:p>
    <w:p w14:paraId="15B65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人工智能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AI）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对社会生活和学术研究产生了深远影响。为了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规范AI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生成合成内容在学术研究领域的应用，维护学术伦理，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本刊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特启事如下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25"/>
          <w:szCs w:val="25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25"/>
          <w:szCs w:val="25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.本刊不接受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工具署名或撰写的稿件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，以及由生成式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工具生成内容直接作为研究成果的投稿。</w:t>
      </w:r>
    </w:p>
    <w:p w14:paraId="4B4F57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本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不接受存在如下情形的投稿：</w:t>
      </w:r>
    </w:p>
    <w:p w14:paraId="7E84048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5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运用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工具生成文章的主体架构、核心观点和主要内容，改写既有研究成果；</w:t>
      </w:r>
    </w:p>
    <w:p w14:paraId="32B979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5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虚构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工具信息或隐瞒使用情况；</w:t>
      </w:r>
    </w:p>
    <w:p w14:paraId="5EBA71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5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运用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工具伪造或捏造文献、内容、数据或其他材料；</w:t>
      </w:r>
    </w:p>
    <w:p w14:paraId="4844E5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5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其他违反人工智能伦理规范或学术规范的情形。</w:t>
      </w:r>
    </w:p>
    <w:p w14:paraId="0B70C6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工具在投稿中的应用，仅限于语言润色、文献检索、数据整理与分析等非核心研究环节，并应遵守通行的人工智能伦理规范和学术规范。</w:t>
      </w:r>
    </w:p>
    <w:p w14:paraId="263007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.向本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投稿的作者，应当说明投稿内容中运用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AI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工具的部分（包括但不限于绘图、收集数据），并标明工具名称、版本、使用时间和生成页面截图。作者对投稿文章的全部内容承担一切法律责任和伦理责任。</w:t>
      </w:r>
    </w:p>
    <w:p w14:paraId="4DB73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疑似违反本启事第1条、第2条的投稿，将有可能被要求提供AIGC检测报告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。</w:t>
      </w:r>
    </w:p>
    <w:p w14:paraId="27B9A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本启事自发布之日起施行，由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建筑经济》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杂志社负责解释。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25"/>
          <w:szCs w:val="25"/>
        </w:rPr>
        <w:br w:type="textWrapping"/>
      </w:r>
    </w:p>
    <w:p w14:paraId="22F70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建筑经济》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杂志社</w:t>
      </w:r>
    </w:p>
    <w:p w14:paraId="07559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202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  <w:lang w:val="en-US" w:eastAsia="zh-CN"/>
        </w:rPr>
        <w:t>27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8"/>
          <w:sz w:val="25"/>
          <w:szCs w:val="25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1A1E4"/>
    <w:multiLevelType w:val="singleLevel"/>
    <w:tmpl w:val="AE71A1E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72D3AAC"/>
    <w:multiLevelType w:val="singleLevel"/>
    <w:tmpl w:val="272D3AAC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9E4662"/>
    <w:rsid w:val="3EE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2026-04-27T03:09:00Z</dcterms:created>
  <dc:creator>admin</dc:creator>
  <cp:lastModifiedBy>admin</cp:lastModifiedBy>
  <dcterms:modified xsi:type="dcterms:W3CDTF">2026-04-27T03:36:53Z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2CD18CCF891A4020A61FCD6F7C4FC444_12</vt:lpwstr>
  </property>
</Properties>
</file>